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704" w:leftChars="-352" w:right="-1000" w:rightChars="-500" w:firstLine="305" w:firstLineChars="117"/>
        <w:jc w:val="both"/>
        <w:textAlignment w:val="auto"/>
        <w:outlineLvl w:val="0"/>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MẪU THỎA THUẬN NGỪNG VIỆC </w:t>
      </w:r>
    </w:p>
    <w:p>
      <w:pPr>
        <w:keepNext w:val="0"/>
        <w:keepLines w:val="0"/>
        <w:pageBreakBefore w:val="0"/>
        <w:widowControl/>
        <w:kinsoku/>
        <w:wordWrap/>
        <w:overflowPunct/>
        <w:topLinePunct w:val="0"/>
        <w:autoSpaceDE/>
        <w:autoSpaceDN/>
        <w:bidi w:val="0"/>
        <w:adjustRightInd/>
        <w:snapToGrid/>
        <w:spacing w:before="120" w:after="120"/>
        <w:ind w:right="-1000" w:rightChars="-50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THỎA THUẬN NGỪNG VIỆC</w:t>
      </w:r>
    </w:p>
    <w:p>
      <w:pPr>
        <w:keepNext w:val="0"/>
        <w:keepLines w:val="0"/>
        <w:pageBreakBefore w:val="0"/>
        <w:widowControl/>
        <w:kinsoku/>
        <w:wordWrap/>
        <w:overflowPunct/>
        <w:topLinePunct w:val="0"/>
        <w:autoSpaceDE/>
        <w:autoSpaceDN/>
        <w:bidi w:val="0"/>
        <w:adjustRightInd/>
        <w:snapToGrid/>
        <w:spacing w:before="120" w:after="120"/>
        <w:ind w:left="-782" w:leftChars="-391" w:right="-1000" w:rightChars="-500" w:firstLine="382" w:firstLineChars="147"/>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Thỏa thuận ngừng việc này (</w:t>
      </w:r>
      <w:r>
        <w:rPr>
          <w:rFonts w:hint="default" w:ascii="Times New Roman" w:hAnsi="Times New Roman"/>
          <w:b/>
          <w:bCs/>
          <w:color w:val="000000" w:themeColor="text1"/>
          <w:sz w:val="26"/>
          <w:szCs w:val="26"/>
          <w:lang w:val="en-US"/>
          <w14:textFill>
            <w14:solidFill>
              <w14:schemeClr w14:val="tx1"/>
            </w14:solidFill>
          </w14:textFill>
        </w:rPr>
        <w:t>“Thỏa thuận"</w:t>
      </w:r>
      <w:r>
        <w:rPr>
          <w:rFonts w:hint="default" w:ascii="Times New Roman" w:hAnsi="Times New Roman"/>
          <w:b w:val="0"/>
          <w:bCs w:val="0"/>
          <w:color w:val="000000" w:themeColor="text1"/>
          <w:sz w:val="26"/>
          <w:szCs w:val="26"/>
          <w:lang w:val="en-US"/>
          <w14:textFill>
            <w14:solidFill>
              <w14:schemeClr w14:val="tx1"/>
            </w14:solidFill>
          </w14:textFill>
        </w:rPr>
        <w:t>) được lập và ký vào ngày……tháng …….năm ……..bởi và giữa:</w:t>
      </w:r>
    </w:p>
    <w:p>
      <w:pPr>
        <w:keepNext w:val="0"/>
        <w:keepLines w:val="0"/>
        <w:pageBreakBefore w:val="0"/>
        <w:widowControl/>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được thành lập và hoạt động hợp pháp theo Giấy chứng nhận đăng ký doanh nghiệp số …… do ……………….cấp lần đầu ngày ……..tháng…….. năm…….. và đăng ký thay đổi lần thứ …..ngày …..tháng…….năm …..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do ………. – Chức vụ: …….mang CMND/Hộ chiếu số…… do …..cấp ngày……tháng …….năm …… làm người đại diện; và</w:t>
      </w:r>
    </w:p>
    <w:p>
      <w:pPr>
        <w:keepNext w:val="0"/>
        <w:keepLines w:val="0"/>
        <w:pageBreakBefore w:val="0"/>
        <w:widowControl/>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……..có mã số nhân viên số……..và có CMND/Hộ chiếu/ Giấy phép lao động số …….được ……cấp ngày …… và có địa chỉ thường trú tại…………(</w:t>
      </w:r>
      <w:r>
        <w:rPr>
          <w:rFonts w:hint="default" w:ascii="Times New Roman" w:hAnsi="Times New Roman"/>
          <w:b/>
          <w:bCs/>
          <w:color w:val="000000" w:themeColor="text1"/>
          <w:sz w:val="26"/>
          <w:szCs w:val="26"/>
          <w:lang w:val="en-US"/>
          <w14:textFill>
            <w14:solidFill>
              <w14:schemeClr w14:val="tx1"/>
            </w14:solidFill>
          </w14:textFill>
        </w:rPr>
        <w:t>“Người Lao động”</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after="120"/>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Xét rằng.</w:t>
      </w:r>
      <w:r>
        <w:rPr>
          <w:rFonts w:hint="default" w:ascii="Times New Roman" w:hAnsi="Times New Roman"/>
          <w:b w:val="0"/>
          <w:bCs w:val="0"/>
          <w:color w:val="000000" w:themeColor="text1"/>
          <w:sz w:val="26"/>
          <w:szCs w:val="26"/>
          <w:lang w:val="en-US"/>
          <w14:textFill>
            <w14:solidFill>
              <w14:schemeClr w14:val="tx1"/>
            </w14:solidFill>
          </w14:textFill>
        </w:rPr>
        <w:t xml:space="preserve"> Công ty và Người Lao động đã ký Hợp đồng Lao động [không xác định thời hạn/xác định thời hạn] số ……..vào ……(“</w:t>
      </w:r>
      <w:r>
        <w:rPr>
          <w:rFonts w:hint="default" w:ascii="Times New Roman" w:hAnsi="Times New Roman"/>
          <w:b/>
          <w:bCs/>
          <w:color w:val="000000" w:themeColor="text1"/>
          <w:sz w:val="26"/>
          <w:szCs w:val="26"/>
          <w:lang w:val="en-US"/>
          <w14:textFill>
            <w14:solidFill>
              <w14:schemeClr w14:val="tx1"/>
            </w14:solidFill>
          </w14:textFill>
        </w:rPr>
        <w:t>Hợp đồng Lao động”</w:t>
      </w:r>
      <w:r>
        <w:rPr>
          <w:rFonts w:hint="default" w:ascii="Times New Roman" w:hAnsi="Times New Roman"/>
          <w:b w:val="0"/>
          <w:bCs w:val="0"/>
          <w:color w:val="000000" w:themeColor="text1"/>
          <w:sz w:val="26"/>
          <w:szCs w:val="26"/>
          <w:lang w:val="en-US"/>
          <w14:textFill>
            <w14:solidFill>
              <w14:schemeClr w14:val="tx1"/>
            </w14:solidFill>
          </w14:textFill>
        </w:rPr>
        <w:t>), theo đó Người Lao Động làm việc cho Công Ty với vị trí……kể từ …….</w:t>
      </w:r>
    </w:p>
    <w:p>
      <w:pPr>
        <w:keepNext w:val="0"/>
        <w:keepLines w:val="0"/>
        <w:pageBreakBefore w:val="0"/>
        <w:widowControl/>
        <w:kinsoku/>
        <w:wordWrap/>
        <w:overflowPunct/>
        <w:topLinePunct w:val="0"/>
        <w:autoSpaceDE/>
        <w:autoSpaceDN/>
        <w:bidi w:val="0"/>
        <w:adjustRightInd/>
        <w:snapToGrid/>
        <w:spacing w:before="120" w:after="120"/>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Xét rằng,</w:t>
      </w:r>
      <w:r>
        <w:rPr>
          <w:rFonts w:hint="default" w:ascii="Times New Roman" w:hAnsi="Times New Roman"/>
          <w:b w:val="0"/>
          <w:bCs w:val="0"/>
          <w:color w:val="000000" w:themeColor="text1"/>
          <w:sz w:val="26"/>
          <w:szCs w:val="26"/>
          <w:lang w:val="en-US"/>
          <w14:textFill>
            <w14:solidFill>
              <w14:schemeClr w14:val="tx1"/>
            </w14:solidFill>
          </w14:textFill>
        </w:rPr>
        <w:t xml:space="preserve"> Công ty tạm thời không thể bố trí đủ việc làm cho Người Lao động do tác động bởi dịch Covid – 19 dẫn tới các khó khăn về thị trường tiêu thụ và Công ty đề nghị cho Người Lao Động ngừng việc theo quy định tại Điều 99 Bộ luật Lao động trong một khoảng thời gian;</w:t>
      </w:r>
    </w:p>
    <w:p>
      <w:pPr>
        <w:keepNext w:val="0"/>
        <w:keepLines w:val="0"/>
        <w:pageBreakBefore w:val="0"/>
        <w:widowControl/>
        <w:kinsoku/>
        <w:wordWrap/>
        <w:overflowPunct/>
        <w:topLinePunct w:val="0"/>
        <w:autoSpaceDE/>
        <w:autoSpaceDN/>
        <w:bidi w:val="0"/>
        <w:adjustRightInd/>
        <w:snapToGrid/>
        <w:spacing w:before="120" w:after="120"/>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Xét rằng,</w:t>
      </w:r>
      <w:r>
        <w:rPr>
          <w:rFonts w:hint="default" w:ascii="Times New Roman" w:hAnsi="Times New Roman"/>
          <w:b w:val="0"/>
          <w:bCs w:val="0"/>
          <w:color w:val="000000" w:themeColor="text1"/>
          <w:sz w:val="26"/>
          <w:szCs w:val="26"/>
          <w:lang w:val="en-US"/>
          <w14:textFill>
            <w14:solidFill>
              <w14:schemeClr w14:val="tx1"/>
            </w14:solidFill>
          </w14:textFill>
        </w:rPr>
        <w:t xml:space="preserve"> nhận thấy được tình hình kinh doanh khó khăn cũng như nỗ lực bố trí việc làm cho Người lao động của Công ty, Người lao động đồng ý với đề nghị ngừng việc của Công ty nhưng muốn việc ngừng việc trong Thời Gian Ngừng Việc (như định nghĩa bên dưới) phải tuân thủ pháp luật lao động của Việt Nam.</w:t>
      </w:r>
    </w:p>
    <w:p>
      <w:pPr>
        <w:keepNext w:val="0"/>
        <w:keepLines w:val="0"/>
        <w:pageBreakBefore w:val="0"/>
        <w:widowControl/>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Vì lẽ đó, nay, Công ty và Người lao động đồng ý ký kết Thỏa thuận này theo các điều khoản và điều kiện sau đây:</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0" w:leftChars="-200" w:right="-1000" w:rightChars="-500" w:hanging="400" w:hangingChars="15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và Người lao động theo dây đồng ý rằng Người lao động sẽ ngừng việc trong khoảng thời gian …….tháng tính từ ngày…….. đến hết ngày……..( Thời Gian Ngừng Việc ). Trong suốt Thời Gian Ngừng Việc. Người lao động sẽ chỉ nhận được tiền lương ngừng việc là……. và không nhận được bất kỳ khoản trợ cấp nào (nếu có) theo thỏa thuận trong Hợp đồng lao động và các chính sách phúc lợi khác của Công ty.</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2" w:leftChars="-201" w:right="-1000" w:rightChars="-500" w:hanging="400" w:hangingChars="15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Trong suốt Thời Gian Ngừng Việc, Công ty sẽ tiếp tục đóng và đóng thay thuế thu nhập cá nhân, bảo hiểm xã hội, bảo hiểm y tế và bảo hiểm thất nghiệp bắt buộc và các khoản phải trả khác thuộc nghĩa vụ của Công ty như một người sử dụng lao động theo quy định của pháp luật hiện hành cho cơ quan Nhà nước có thẩm quyền của Việt Nam. </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Thời Gian Ngừng Việc của Người Lao Động có thể được gia hạn khi và chỉ khi có thỏa thuận bằng văn bản của Công Ty và Người Lao động trước khi hết Thời Gian Ngừng Việc. Trong trường hợp Thời Gian Ngừng Việc đã hết nhưng Người Lao Động không trở lại Công Ty để làm việc theo quy định tại Thỏa Thuận này và Hợp Đồng Lao Động. Người Lao Động sẽ được xem là tự ý bỏ việc không có lý do chính đáng và sẽ bị xử lý kỷ luật lao động theo hình thức thích hợp theo nội quy lao động của Công ty và quy định của pháp luật lao động của Việt Nam.</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Lao Động tại đây khẳng định và đồng ý rằng trong Thời Gian Ngừng Việc, Người Lao Động sẽ không tham gia, trực tiếp hoặc gián tiếp, và với tư cách là bên ủy nhiệm, đại lý, đối tác, người lao động, cổ đông, nhà đầu tư, thành viên, người được ủy thác, người thụ hưởng, nhà tư vấn hoặc cố vấn, vào bất kỳ hoạt động và/hoặc hoạt động kinh doanh nào giống hoặc tương tự với và cạnh tranh với hoạt động của Công Ty.</w:t>
      </w:r>
    </w:p>
    <w:p>
      <w:pPr>
        <w:keepNext w:val="0"/>
        <w:keepLines w:val="0"/>
        <w:pageBreakBefore w:val="0"/>
        <w:widowControl/>
        <w:numPr>
          <w:ilvl w:val="0"/>
          <w:numId w:val="1"/>
        </w:numPr>
        <w:kinsoku/>
        <w:wordWrap/>
        <w:overflowPunct/>
        <w:topLinePunct w:val="0"/>
        <w:autoSpaceDE/>
        <w:autoSpaceDN/>
        <w:bidi w:val="0"/>
        <w:adjustRightInd/>
        <w:snapToGrid/>
        <w:spacing w:before="240" w:after="240" w:line="28" w:lineRule="atLeast"/>
        <w:ind w:left="-3" w:leftChars="-200" w:right="-1000" w:rightChars="-500" w:hanging="397" w:hangingChars="153"/>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Lao Động thừa nhận và đồng ý rằng:</w:t>
      </w:r>
    </w:p>
    <w:p>
      <w:pPr>
        <w:keepNext w:val="0"/>
        <w:keepLines w:val="0"/>
        <w:pageBreakBefore w:val="0"/>
        <w:widowControl/>
        <w:numPr>
          <w:ilvl w:val="0"/>
          <w:numId w:val="0"/>
        </w:numPr>
        <w:kinsoku/>
        <w:wordWrap/>
        <w:overflowPunct/>
        <w:topLinePunct w:val="0"/>
        <w:autoSpaceDE/>
        <w:autoSpaceDN/>
        <w:bidi w:val="0"/>
        <w:adjustRightInd/>
        <w:snapToGrid/>
        <w:spacing w:before="240" w:after="240" w:line="28" w:lineRule="atLeast"/>
        <w:ind w:left="204" w:leftChars="-353" w:right="-1000" w:rightChars="-500" w:hanging="910" w:hanging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a. Trong trường hợp. Người Lao Động đơn phương chấm dứt Hợp Đồng Lao Động trước thời hạn trong hoặc sau Thời Gian Ngừng Việc thì Thời Gian Ngừng Việc sẽ không được tính vào khoảng thời gian thông báo trước mà Người Lao Động phải tuân thủ theo quy định của pháp luật đối với loại Hợp Đồng Lao Động đã ký kết.</w:t>
      </w:r>
    </w:p>
    <w:p>
      <w:pPr>
        <w:keepNext w:val="0"/>
        <w:keepLines w:val="0"/>
        <w:pageBreakBefore w:val="0"/>
        <w:widowControl/>
        <w:kinsoku/>
        <w:wordWrap/>
        <w:overflowPunct/>
        <w:topLinePunct w:val="0"/>
        <w:autoSpaceDE/>
        <w:autoSpaceDN/>
        <w:bidi w:val="0"/>
        <w:adjustRightInd/>
        <w:snapToGrid/>
        <w:spacing w:before="240" w:after="240" w:line="28" w:lineRule="atLeast"/>
        <w:ind w:left="260" w:right="-1000" w:rightChars="-500" w:hanging="260" w:hangingChars="10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Người Lao Động phải đảm bảo tính bảo mật của sự tổn tại và các điều khoản của Thỏa Thuận này cũng như không được tiết lộ cho bất kỳ cá nhân hay tổ chức nào. thông tin mật mà Người Lao Động đã nhận được từ Công Ty.</w:t>
      </w:r>
    </w:p>
    <w:p>
      <w:pPr>
        <w:keepNext w:val="0"/>
        <w:keepLines w:val="0"/>
        <w:pageBreakBefore w:val="0"/>
        <w:widowControl/>
        <w:numPr>
          <w:ilvl w:val="0"/>
          <w:numId w:val="1"/>
        </w:numPr>
        <w:kinsoku/>
        <w:wordWrap/>
        <w:overflowPunct/>
        <w:topLinePunct w:val="0"/>
        <w:autoSpaceDE/>
        <w:autoSpaceDN/>
        <w:bidi w:val="0"/>
        <w:adjustRightInd/>
        <w:snapToGrid/>
        <w:spacing w:before="240" w:after="240" w:line="28" w:lineRule="atLeast"/>
        <w:ind w:left="195" w:leftChars="-20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Trong thời hạn [01] ngày làm việc sau khi hết hạn Thời      Gian Ngừng Việc, Người Lao Động sẽ trở lại làm việc cho Công Ty với cùng vị trí và hưởng các chế độ như đã được thỏa theo tinh thuận theo Hợp Đồng Lao Động.</w:t>
      </w:r>
    </w:p>
    <w:p>
      <w:pPr>
        <w:keepNext w:val="0"/>
        <w:keepLines w:val="0"/>
        <w:pageBreakBefore w:val="0"/>
        <w:widowControl/>
        <w:numPr>
          <w:ilvl w:val="0"/>
          <w:numId w:val="1"/>
        </w:numPr>
        <w:kinsoku/>
        <w:wordWrap/>
        <w:overflowPunct/>
        <w:topLinePunct w:val="0"/>
        <w:autoSpaceDE/>
        <w:autoSpaceDN/>
        <w:bidi w:val="0"/>
        <w:adjustRightInd/>
        <w:snapToGrid/>
        <w:spacing w:before="240" w:after="240" w:line="28" w:lineRule="atLeast"/>
        <w:ind w:left="195" w:leftChars="-20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Người Lao Động, vào bất kỳ thời điểm nào trong suốt hoặc sau Thời Gian Ngừng Việc, (a) đồng ý từ bỏ, miễn trừ, khước từ bất kỳ và toàn bộ khiếu kiện nào mà Người Lao Động có hoặc có thể có chống lại Công Ty, dù được biết hay chưa được biết, bất ngờ hay xác thực, theo bất kỳ và mọi luật định nào, có liên quan trực tiếp hoặc gián tiếp đến công việc của Người Lao Động tại Công Ty có liên quan đến Thỏa Thuận này; và (b) đồng ý không khiếu kiện tới tòa án có thẩm quyền hoặc bất kỳ cơ quan chức năng tương tự nào khác, tính chấp thuận được, giá trị, tính thi hành hoặc hiệu lực của Thỏa Thuận này.</w:t>
      </w:r>
    </w:p>
    <w:p>
      <w:pPr>
        <w:keepNext w:val="0"/>
        <w:keepLines w:val="0"/>
        <w:pageBreakBefore w:val="0"/>
        <w:widowControl/>
        <w:numPr>
          <w:ilvl w:val="0"/>
          <w:numId w:val="1"/>
        </w:numPr>
        <w:kinsoku/>
        <w:wordWrap/>
        <w:overflowPunct/>
        <w:topLinePunct w:val="0"/>
        <w:autoSpaceDE/>
        <w:autoSpaceDN/>
        <w:bidi w:val="0"/>
        <w:adjustRightInd/>
        <w:snapToGrid/>
        <w:spacing w:before="240" w:after="240" w:line="28" w:lineRule="atLeast"/>
        <w:ind w:left="195" w:leftChars="-20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Trong trường hợp vi phạm các điều khoản và điều kiện quy định tại Thỏa Thuận này, Người Lao Động sẽ phải bối thường toàn bộ thiệt hại phát sinh từ việc vi phạm này mà Công Ty đã gánh chịu.</w:t>
      </w:r>
    </w:p>
    <w:p>
      <w:pPr>
        <w:numPr>
          <w:ilvl w:val="0"/>
          <w:numId w:val="1"/>
        </w:numPr>
        <w:ind w:left="-3" w:leftChars="-200" w:right="-1000" w:rightChars="-500" w:hanging="397" w:hangingChars="153"/>
        <w:jc w:val="both"/>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Thỏa Thuận này được lập thành hai (02) bản gốc tiếng Việt có giá trị như nhau. Mỗi bên giữ một (01) bản gốc để thực hiện. </w:t>
      </w:r>
    </w:p>
    <w:p>
      <w:pPr>
        <w:numPr>
          <w:ilvl w:val="0"/>
          <w:numId w:val="1"/>
        </w:numPr>
        <w:ind w:left="-5" w:leftChars="-200" w:right="-1000" w:rightChars="-500" w:hanging="395" w:hangingChars="152"/>
        <w:jc w:val="both"/>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Thỏa Thuận này có hiệu lực kể từ ngày ký kết. </w:t>
      </w:r>
    </w:p>
    <w:p>
      <w:pPr>
        <w:rPr>
          <w:rFonts w:hint="default" w:ascii="Times New Roman" w:hAnsi="Times New Roman"/>
          <w:b/>
          <w:bCs/>
          <w:color w:val="000000" w:themeColor="text1"/>
          <w:sz w:val="26"/>
          <w:szCs w:val="26"/>
          <w:lang w:val="en-US"/>
          <w14:textFill>
            <w14:solidFill>
              <w14:schemeClr w14:val="tx1"/>
            </w14:solidFill>
          </w14:textFill>
        </w:rPr>
      </w:pPr>
    </w:p>
    <w:p>
      <w:pPr>
        <w:ind w:right="-1070" w:rightChars="-535"/>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Thay mặt và đại diện cho          Người lao </w:t>
      </w:r>
      <w:bookmarkStart w:id="0" w:name="_GoBack"/>
      <w:bookmarkEnd w:id="0"/>
      <w:r>
        <w:rPr>
          <w:rFonts w:hint="default" w:ascii="Times New Roman" w:hAnsi="Times New Roman"/>
          <w:b/>
          <w:bCs/>
          <w:color w:val="000000" w:themeColor="text1"/>
          <w:sz w:val="26"/>
          <w:szCs w:val="26"/>
          <w:lang w:val="en-US"/>
          <w14:textFill>
            <w14:solidFill>
              <w14:schemeClr w14:val="tx1"/>
            </w14:solidFill>
          </w14:textFill>
        </w:rPr>
        <w:t>động</w:t>
      </w:r>
    </w:p>
    <w:p>
      <w:pPr>
        <w:ind w:left="3380" w:right="-1000" w:rightChars="-500" w:hanging="3393" w:hangingChars="1300"/>
        <w:jc w:val="left"/>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Công ty                  Toàn bộ Thỏa Thuận này</w:t>
      </w:r>
    </w:p>
    <w:p>
      <w:pPr>
        <w:ind w:right="-1000" w:rightChars="-500" w:firstLine="3263" w:firstLineChars="1250"/>
        <w:jc w:val="left"/>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đã được đọc, hiểu rõ và tự </w:t>
      </w:r>
    </w:p>
    <w:p>
      <w:pPr>
        <w:ind w:left="4931" w:leftChars="1552" w:right="-1000" w:rightChars="-500" w:hanging="1827" w:hangingChars="700"/>
        <w:jc w:val="left"/>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nguyện chấp nhận bởi Người</w:t>
      </w:r>
    </w:p>
    <w:p>
      <w:pPr>
        <w:ind w:right="-1000" w:rightChars="-500" w:firstLine="4176" w:firstLineChars="1600"/>
        <w:jc w:val="both"/>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Lao động</w:t>
      </w:r>
    </w:p>
    <w:p>
      <w:pPr>
        <w:ind w:right="-1000" w:rightChars="-500"/>
        <w:jc w:val="left"/>
        <w:rPr>
          <w:rFonts w:hint="default" w:ascii="Times New Roman" w:hAnsi="Times New Roman"/>
          <w:b w:val="0"/>
          <w:bCs w:val="0"/>
          <w:color w:val="000000" w:themeColor="text1"/>
          <w:sz w:val="26"/>
          <w:szCs w:val="26"/>
          <w:lang w:val="en-US"/>
          <w14:textFill>
            <w14:solidFill>
              <w14:schemeClr w14:val="tx1"/>
            </w14:solidFill>
          </w14:textFill>
        </w:rPr>
      </w:pPr>
    </w:p>
    <w:p>
      <w:pPr>
        <w:ind w:right="-1000" w:rightChars="-500"/>
        <w:jc w:val="left"/>
        <w:rPr>
          <w:rFonts w:hint="default" w:ascii="Times New Roman" w:hAnsi="Times New Roman"/>
          <w:b w:val="0"/>
          <w:bCs w:val="0"/>
          <w:color w:val="000000" w:themeColor="text1"/>
          <w:sz w:val="26"/>
          <w:szCs w:val="26"/>
          <w:lang w:val="en-US"/>
          <w14:textFill>
            <w14:solidFill>
              <w14:schemeClr w14:val="tx1"/>
            </w14:solidFill>
          </w14:textFill>
        </w:rPr>
      </w:pPr>
    </w:p>
    <w:p>
      <w:pPr>
        <w:ind w:right="-1000" w:rightChars="-500"/>
        <w:jc w:val="left"/>
        <w:rPr>
          <w:rFonts w:hint="default" w:ascii="Times New Roman" w:hAnsi="Times New Roman"/>
          <w:b w:val="0"/>
          <w:bCs w:val="0"/>
          <w:color w:val="000000" w:themeColor="text1"/>
          <w:sz w:val="26"/>
          <w:szCs w:val="26"/>
          <w:lang w:val="en-US"/>
          <w14:textFill>
            <w14:solidFill>
              <w14:schemeClr w14:val="tx1"/>
            </w14:solidFill>
          </w14:textFill>
        </w:rPr>
      </w:pPr>
    </w:p>
    <w:p>
      <w:pPr>
        <w:ind w:right="-1000" w:rightChars="-500"/>
        <w:jc w:val="left"/>
        <w:rPr>
          <w:rFonts w:hint="default" w:ascii="Times New Roman" w:hAnsi="Times New Roman"/>
          <w:b w:val="0"/>
          <w:bCs w:val="0"/>
          <w:color w:val="000000" w:themeColor="text1"/>
          <w:sz w:val="26"/>
          <w:szCs w:val="26"/>
          <w:lang w:val="en-US"/>
          <w14:textFill>
            <w14:solidFill>
              <w14:schemeClr w14:val="tx1"/>
            </w14:solidFill>
          </w14:textFill>
        </w:rPr>
      </w:pPr>
    </w:p>
    <w:p>
      <w:pPr>
        <w:ind w:right="-1000" w:rightChars="-500"/>
        <w:jc w:val="left"/>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784192" behindDoc="0" locked="0" layoutInCell="1" allowOverlap="1">
                <wp:simplePos x="0" y="0"/>
                <wp:positionH relativeFrom="column">
                  <wp:posOffset>2143125</wp:posOffset>
                </wp:positionH>
                <wp:positionV relativeFrom="paragraph">
                  <wp:posOffset>13970</wp:posOffset>
                </wp:positionV>
                <wp:extent cx="1917700" cy="12700"/>
                <wp:effectExtent l="0" t="4445" r="0" b="8255"/>
                <wp:wrapNone/>
                <wp:docPr id="59" name="Straight Connector 59"/>
                <wp:cNvGraphicFramePr/>
                <a:graphic xmlns:a="http://schemas.openxmlformats.org/drawingml/2006/main">
                  <a:graphicData uri="http://schemas.microsoft.com/office/word/2010/wordprocessingShape">
                    <wps:wsp>
                      <wps:cNvCnPr/>
                      <wps:spPr>
                        <a:xfrm flipV="1">
                          <a:off x="3286125" y="3806825"/>
                          <a:ext cx="19177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68.75pt;margin-top:1.1pt;height:1pt;width:151pt;z-index:251784192;mso-width-relative:page;mso-height-relative:page;" filled="f" stroked="t" coordsize="21600,21600" o:gfxdata="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smtpNUAAAAHAQAADwAAAAAAAAABACAAAAAiAAAAZHJz&#10;L2Rvd25yZXYueG1sUEsBAhQAFAAAAAgAh07iQEKnmWTOAQAAggMAAA4AAAAAAAAAAQAgAAAAJAEA&#10;AGRycy9lMm9Eb2MueG1sUEsFBgAAAAAGAAYAWQEAAGQ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1783168" behindDoc="0" locked="0" layoutInCell="1" allowOverlap="1">
                <wp:simplePos x="0" y="0"/>
                <wp:positionH relativeFrom="column">
                  <wp:posOffset>-15875</wp:posOffset>
                </wp:positionH>
                <wp:positionV relativeFrom="paragraph">
                  <wp:posOffset>52070</wp:posOffset>
                </wp:positionV>
                <wp:extent cx="1676400" cy="0"/>
                <wp:effectExtent l="0" t="0" r="0" b="0"/>
                <wp:wrapNone/>
                <wp:docPr id="58" name="Straight Connector 58"/>
                <wp:cNvGraphicFramePr/>
                <a:graphic xmlns:a="http://schemas.openxmlformats.org/drawingml/2006/main">
                  <a:graphicData uri="http://schemas.microsoft.com/office/word/2010/wordprocessingShape">
                    <wps:wsp>
                      <wps:cNvCnPr/>
                      <wps:spPr>
                        <a:xfrm>
                          <a:off x="1127125" y="3844925"/>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pt;margin-top:4.1pt;height:0pt;width:132pt;z-index:251783168;mso-width-relative:page;mso-height-relative:page;" filled="f" stroked="t" coordsize="21600,21600" o:gfxdata="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csSr60wAAAAYBAAAPAAAAAAAAAAEAIAAAACIAAABkcnMvZG93bnJldi54&#10;bWxQSwECFAAUAAAACACHTuJAW94A1MYBAAB0AwAADgAAAAAAAAABACAAAAAiAQAAZHJzL2Uyb0Rv&#10;Yy54bWxQSwUGAAAAAAYABgBZAQAAWgUAAAAA&#10;">
                <v:fill on="f" focussize="0,0"/>
                <v:stroke weight="0.5pt" color="#000000 [3200]" miterlimit="8" joinstyle="miter"/>
                <v:imagedata o:title=""/>
                <o:lock v:ext="edit" aspectratio="f"/>
              </v:line>
            </w:pict>
          </mc:Fallback>
        </mc:AlternateContent>
      </w:r>
    </w:p>
    <w:p>
      <w:pPr>
        <w:ind w:right="-1000" w:rightChars="-500" w:firstLine="390" w:firstLineChars="150"/>
        <w:jc w:val="left"/>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 [Bà]……….                  [Họ và tên]</w:t>
      </w:r>
    </w:p>
    <w:p>
      <w:pPr>
        <w:ind w:right="-1000" w:rightChars="-500" w:firstLine="390" w:firstLineChars="150"/>
        <w:jc w:val="left"/>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w:t>
      </w:r>
    </w:p>
    <w:p>
      <w:pPr>
        <w:ind w:right="-1070" w:rightChars="-535"/>
      </w:pP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49C4AF"/>
    <w:multiLevelType w:val="multilevel"/>
    <w:tmpl w:val="FF49C4A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85951"/>
    <w:rsid w:val="7438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2023-07-07T03:30:00Z</dcterms:created>
  <dc:creator>Hảo Thanh</dc:creator>
  <cp:lastModifiedBy>Hảo Thanh</cp:lastModifiedBy>
  <dcterms:modified xsi:type="dcterms:W3CDTF">2023-07-07T03:34:36Z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